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7993" w14:textId="77777777" w:rsidR="00942CBA" w:rsidRPr="00BA68A2" w:rsidRDefault="00942CBA" w:rsidP="00942CBA">
      <w:pPr>
        <w:jc w:val="center"/>
        <w:rPr>
          <w:u w:val="single"/>
        </w:rPr>
      </w:pPr>
      <w:proofErr w:type="spellStart"/>
      <w:r w:rsidRPr="00BA68A2">
        <w:rPr>
          <w:u w:val="single"/>
        </w:rPr>
        <w:t>Dek</w:t>
      </w:r>
      <w:proofErr w:type="spellEnd"/>
      <w:r w:rsidRPr="00BA68A2">
        <w:rPr>
          <w:u w:val="single"/>
        </w:rPr>
        <w:t xml:space="preserve"> Hockey Sorel-Tracy</w:t>
      </w:r>
    </w:p>
    <w:p w14:paraId="7320CD06" w14:textId="07C6F389" w:rsidR="00942CBA" w:rsidRPr="00BA68A2" w:rsidRDefault="00942CBA" w:rsidP="00942CBA">
      <w:pPr>
        <w:jc w:val="center"/>
        <w:rPr>
          <w:u w:val="single"/>
        </w:rPr>
      </w:pPr>
      <w:r w:rsidRPr="00BA68A2">
        <w:rPr>
          <w:u w:val="single"/>
        </w:rPr>
        <w:t>Trousse –</w:t>
      </w:r>
      <w:r w:rsidR="00A85C38" w:rsidRPr="00BA68A2">
        <w:rPr>
          <w:u w:val="single"/>
        </w:rPr>
        <w:t xml:space="preserve"> Nouveaux</w:t>
      </w:r>
      <w:r w:rsidRPr="00BA68A2">
        <w:rPr>
          <w:u w:val="single"/>
        </w:rPr>
        <w:t xml:space="preserve"> Capitaines</w:t>
      </w:r>
    </w:p>
    <w:p w14:paraId="4C664A1A" w14:textId="77777777" w:rsidR="00942CBA" w:rsidRPr="00BA68A2" w:rsidRDefault="00942CBA" w:rsidP="00942CBA">
      <w:pPr>
        <w:rPr>
          <w:u w:val="single"/>
        </w:rPr>
      </w:pPr>
    </w:p>
    <w:p w14:paraId="0B35A915" w14:textId="0A90CC01" w:rsidR="005F38A9" w:rsidRPr="00BA68A2" w:rsidRDefault="005F38A9" w:rsidP="00942CBA">
      <w:pPr>
        <w:rPr>
          <w:i/>
        </w:rPr>
      </w:pPr>
      <w:r w:rsidRPr="00BA68A2">
        <w:rPr>
          <w:i/>
        </w:rPr>
        <w:t xml:space="preserve">Mise à jour </w:t>
      </w:r>
      <w:r w:rsidR="00BA68A2">
        <w:rPr>
          <w:i/>
        </w:rPr>
        <w:t>le 6</w:t>
      </w:r>
      <w:r w:rsidR="0069099D" w:rsidRPr="00BA68A2">
        <w:rPr>
          <w:i/>
        </w:rPr>
        <w:t xml:space="preserve"> mars 2020</w:t>
      </w:r>
    </w:p>
    <w:p w14:paraId="24A431BE" w14:textId="77777777" w:rsidR="00942CBA" w:rsidRPr="00BA68A2" w:rsidRDefault="00942CBA" w:rsidP="00942CBA"/>
    <w:p w14:paraId="4A1518D2" w14:textId="4CEC0316" w:rsidR="00942CBA" w:rsidRPr="00BA68A2" w:rsidRDefault="00942CBA" w:rsidP="00942CBA">
      <w:r w:rsidRPr="00BA68A2">
        <w:tab/>
        <w:t xml:space="preserve">Débuter une carrière de </w:t>
      </w:r>
      <w:r w:rsidR="00FA723A" w:rsidRPr="00BA68A2">
        <w:t>capitaine/gérant</w:t>
      </w:r>
      <w:r w:rsidRPr="00BA68A2">
        <w:t xml:space="preserve"> d’une équipe de </w:t>
      </w:r>
      <w:proofErr w:type="spellStart"/>
      <w:r w:rsidRPr="00BA68A2">
        <w:t>Dek</w:t>
      </w:r>
      <w:proofErr w:type="spellEnd"/>
      <w:r w:rsidRPr="00BA68A2">
        <w:t xml:space="preserve"> Hockey nécessite une certaine préparation! Dans le but de faciliter la gestion de votre équipe, d’assurer la conformité de votre équipe aux règlements et maximiser votre plaisir, nous avons demandé à quelques </w:t>
      </w:r>
      <w:r w:rsidR="00FA723A" w:rsidRPr="00BA68A2">
        <w:t>capitaines</w:t>
      </w:r>
      <w:r w:rsidRPr="00BA68A2">
        <w:t xml:space="preserve"> d’expérience de </w:t>
      </w:r>
      <w:r w:rsidR="002144E0" w:rsidRPr="00BA68A2">
        <w:t>divulguer les leç</w:t>
      </w:r>
      <w:r w:rsidR="00FA723A" w:rsidRPr="00BA68A2">
        <w:t>ons qu’ils auraient aimé avoir à leur début. « </w:t>
      </w:r>
      <w:proofErr w:type="spellStart"/>
      <w:r w:rsidR="00FA723A" w:rsidRPr="00BA68A2">
        <w:t>A</w:t>
      </w:r>
      <w:proofErr w:type="spellEnd"/>
      <w:r w:rsidR="00FA723A" w:rsidRPr="00BA68A2">
        <w:t xml:space="preserve"> </w:t>
      </w:r>
      <w:proofErr w:type="spellStart"/>
      <w:r w:rsidR="00FA723A" w:rsidRPr="00BA68A2">
        <w:t>letter</w:t>
      </w:r>
      <w:proofErr w:type="spellEnd"/>
      <w:r w:rsidR="00FA723A" w:rsidRPr="00BA68A2">
        <w:t xml:space="preserve"> to </w:t>
      </w:r>
      <w:proofErr w:type="spellStart"/>
      <w:r w:rsidR="00FA723A" w:rsidRPr="00BA68A2">
        <w:t>my</w:t>
      </w:r>
      <w:proofErr w:type="spellEnd"/>
      <w:r w:rsidR="00FA723A" w:rsidRPr="00BA68A2">
        <w:t xml:space="preserve"> </w:t>
      </w:r>
      <w:proofErr w:type="spellStart"/>
      <w:r w:rsidR="00FA723A" w:rsidRPr="00BA68A2">
        <w:t>younger</w:t>
      </w:r>
      <w:proofErr w:type="spellEnd"/>
      <w:r w:rsidR="00FA723A" w:rsidRPr="00BA68A2">
        <w:t xml:space="preserve"> self »!</w:t>
      </w:r>
    </w:p>
    <w:p w14:paraId="2665FF1E" w14:textId="77777777" w:rsidR="00FA723A" w:rsidRPr="00BA68A2" w:rsidRDefault="00FA723A" w:rsidP="00942CBA"/>
    <w:p w14:paraId="31F8D8AC" w14:textId="77777777" w:rsidR="00FA723A" w:rsidRPr="00BA68A2" w:rsidRDefault="00FA723A" w:rsidP="00942CBA">
      <w:pPr>
        <w:rPr>
          <w:u w:val="single"/>
        </w:rPr>
      </w:pPr>
      <w:r w:rsidRPr="00BA68A2">
        <w:rPr>
          <w:u w:val="single"/>
        </w:rPr>
        <w:t>Astuces générales</w:t>
      </w:r>
    </w:p>
    <w:p w14:paraId="329D0FDC" w14:textId="2A74A267" w:rsidR="00FA723A" w:rsidRPr="00BA68A2" w:rsidRDefault="00FA723A" w:rsidP="00FA723A">
      <w:pPr>
        <w:pStyle w:val="Pardeliste"/>
        <w:numPr>
          <w:ilvl w:val="0"/>
          <w:numId w:val="1"/>
        </w:numPr>
      </w:pPr>
      <w:r w:rsidRPr="00BA68A2">
        <w:t>Lire l’ensemble des règlements et contacter l’organisation si des règlements ne sont pas clairs.</w:t>
      </w:r>
      <w:r w:rsidR="00E940E2" w:rsidRPr="00BA68A2">
        <w:t xml:space="preserve"> Assurez-vous de bien lire les cotes automatiques attribuées aux joueurs qui ont joué un certain niveau sur glace et qui n’ont pas encore de cotes locales.</w:t>
      </w:r>
    </w:p>
    <w:p w14:paraId="4E762870" w14:textId="09959CEE" w:rsidR="00FA723A" w:rsidRPr="00BA68A2" w:rsidRDefault="00FA723A" w:rsidP="00FA723A">
      <w:pPr>
        <w:pStyle w:val="Pardeliste"/>
        <w:numPr>
          <w:ilvl w:val="0"/>
          <w:numId w:val="1"/>
        </w:numPr>
      </w:pPr>
      <w:r w:rsidRPr="00BA68A2">
        <w:t>Prévoir un</w:t>
      </w:r>
      <w:r w:rsidR="005F38A9" w:rsidRPr="00BA68A2">
        <w:t xml:space="preserve"> budget pour l’achat de balles (e</w:t>
      </w:r>
      <w:r w:rsidR="005B7DA0" w:rsidRPr="00BA68A2">
        <w:t>nviron 15</w:t>
      </w:r>
      <w:r w:rsidR="005F38A9" w:rsidRPr="00BA68A2">
        <w:t>0$</w:t>
      </w:r>
      <w:r w:rsidRPr="00BA68A2">
        <w:t>) et exiger la somme en même temps que l’inscription</w:t>
      </w:r>
      <w:r w:rsidR="00CB3DD5" w:rsidRPr="00BA68A2">
        <w:t xml:space="preserve"> </w:t>
      </w:r>
      <w:r w:rsidR="00332F8E" w:rsidRPr="00BA68A2">
        <w:t>à vos joueurs</w:t>
      </w:r>
      <w:r w:rsidRPr="00BA68A2">
        <w:t>.</w:t>
      </w:r>
    </w:p>
    <w:p w14:paraId="5718B0CF" w14:textId="6C9E03F5" w:rsidR="005B7DA0" w:rsidRPr="00BA68A2" w:rsidRDefault="005B7DA0" w:rsidP="00FA723A">
      <w:pPr>
        <w:pStyle w:val="Pardeliste"/>
        <w:numPr>
          <w:ilvl w:val="0"/>
          <w:numId w:val="1"/>
        </w:numPr>
      </w:pPr>
      <w:r w:rsidRPr="00BA68A2">
        <w:t xml:space="preserve">L’organisation obligera l’utilisation de balles avec du liquide (Ex. : </w:t>
      </w:r>
      <w:proofErr w:type="spellStart"/>
      <w:r w:rsidRPr="00BA68A2">
        <w:t>Knapper</w:t>
      </w:r>
      <w:proofErr w:type="spellEnd"/>
      <w:r w:rsidRPr="00BA68A2">
        <w:t xml:space="preserve"> Pro </w:t>
      </w:r>
      <w:proofErr w:type="spellStart"/>
      <w:r w:rsidRPr="00BA68A2">
        <w:t>Fluid</w:t>
      </w:r>
      <w:proofErr w:type="spellEnd"/>
      <w:r w:rsidRPr="00BA68A2">
        <w:t>, Bauer Hydro G</w:t>
      </w:r>
      <w:proofErr w:type="gramStart"/>
      <w:r w:rsidRPr="00BA68A2">
        <w:t>, .</w:t>
      </w:r>
      <w:proofErr w:type="gramEnd"/>
      <w:r w:rsidRPr="00BA68A2">
        <w:t xml:space="preserve"> Par contre, il faut éviter la </w:t>
      </w:r>
      <w:proofErr w:type="spellStart"/>
      <w:r w:rsidRPr="00BA68A2">
        <w:t>G-Force</w:t>
      </w:r>
      <w:proofErr w:type="spellEnd"/>
      <w:r w:rsidRPr="00BA68A2">
        <w:t>).</w:t>
      </w:r>
    </w:p>
    <w:p w14:paraId="050AC61E" w14:textId="49AEDCCB" w:rsidR="005B7DA0" w:rsidRPr="00BA68A2" w:rsidRDefault="005B7DA0" w:rsidP="005B7DA0">
      <w:pPr>
        <w:pStyle w:val="Pardeliste"/>
        <w:numPr>
          <w:ilvl w:val="1"/>
          <w:numId w:val="1"/>
        </w:numPr>
      </w:pPr>
      <w:r w:rsidRPr="00BA68A2">
        <w:t>Il faut prévoir des balles roses (température entre 0 et 15 degrés</w:t>
      </w:r>
      <w:r w:rsidR="00332F8E" w:rsidRPr="00BA68A2">
        <w:t xml:space="preserve"> Celsius</w:t>
      </w:r>
      <w:r w:rsidRPr="00BA68A2">
        <w:t xml:space="preserve">) et balles </w:t>
      </w:r>
      <w:proofErr w:type="gramStart"/>
      <w:r w:rsidRPr="00BA68A2">
        <w:t>oranges</w:t>
      </w:r>
      <w:proofErr w:type="gramEnd"/>
      <w:r w:rsidRPr="00BA68A2">
        <w:t xml:space="preserve"> (15 à 25 degrés</w:t>
      </w:r>
      <w:r w:rsidR="00332F8E" w:rsidRPr="00BA68A2">
        <w:t xml:space="preserve"> Celsius</w:t>
      </w:r>
      <w:r w:rsidRPr="00BA68A2">
        <w:t>). Les balles rouges pourront être recommandées lors de canicule.</w:t>
      </w:r>
    </w:p>
    <w:p w14:paraId="25FA2F66" w14:textId="7B41FB1C" w:rsidR="00FA723A" w:rsidRPr="00BA68A2" w:rsidRDefault="00332F8E" w:rsidP="00FA723A">
      <w:pPr>
        <w:pStyle w:val="Pardeliste"/>
        <w:numPr>
          <w:ilvl w:val="0"/>
          <w:numId w:val="1"/>
        </w:numPr>
      </w:pPr>
      <w:r w:rsidRPr="00BA68A2">
        <w:t>Suppliez</w:t>
      </w:r>
      <w:r w:rsidR="00FA723A" w:rsidRPr="00BA68A2">
        <w:t xml:space="preserve"> vos joueurs d’avertir d’avance lorsqu’ils doivent s’absenter.</w:t>
      </w:r>
    </w:p>
    <w:p w14:paraId="09F92650" w14:textId="77777777" w:rsidR="00FA723A" w:rsidRPr="00BA68A2" w:rsidRDefault="00FA723A" w:rsidP="00FA723A">
      <w:pPr>
        <w:pStyle w:val="Pardeliste"/>
        <w:numPr>
          <w:ilvl w:val="0"/>
          <w:numId w:val="1"/>
        </w:numPr>
      </w:pPr>
      <w:r w:rsidRPr="00BA68A2">
        <w:t>Ne pas prendre de « capture d’image » de l’horaire. Il se peut qu’il y ait des changements pendant la saison. Si tel est le cas, vous serez averti. Donc, toujours se fier à l’horaire sur le site web.</w:t>
      </w:r>
    </w:p>
    <w:p w14:paraId="40A5F94C" w14:textId="287D2DE1" w:rsidR="00CA0F2C" w:rsidRPr="00BA68A2" w:rsidRDefault="00FA723A" w:rsidP="00CA0F2C">
      <w:pPr>
        <w:pStyle w:val="Pardeliste"/>
        <w:numPr>
          <w:ilvl w:val="0"/>
          <w:numId w:val="1"/>
        </w:numPr>
      </w:pPr>
      <w:r w:rsidRPr="00BA68A2">
        <w:t xml:space="preserve">Prévoir d’avoir des remplaçants disponibles lors des séries éliminatoires. </w:t>
      </w:r>
      <w:r w:rsidR="00C15C51" w:rsidRPr="00BA68A2">
        <w:t>Pour qu’un joueur puisse jouer en séries éliminatoires, il doit avoir joué un nombre minimal de match.</w:t>
      </w:r>
    </w:p>
    <w:p w14:paraId="497F7B84" w14:textId="77777777" w:rsidR="00E17931" w:rsidRPr="00BA68A2" w:rsidRDefault="00332F8E" w:rsidP="00E17931">
      <w:pPr>
        <w:pStyle w:val="Pardeliste"/>
        <w:numPr>
          <w:ilvl w:val="0"/>
          <w:numId w:val="1"/>
        </w:numPr>
      </w:pPr>
      <w:r w:rsidRPr="00BA68A2">
        <w:t xml:space="preserve">S’assurer dès l’inscription dans une catégorie que l’ensemble des joueurs respectent les restrictions de cote. C’est le devoir du capitaine de s’assurer </w:t>
      </w:r>
      <w:proofErr w:type="gramStart"/>
      <w:r w:rsidRPr="00BA68A2">
        <w:t>que</w:t>
      </w:r>
      <w:proofErr w:type="gramEnd"/>
      <w:r w:rsidRPr="00BA68A2">
        <w:t xml:space="preserve"> son équipe est légalement parlant apte à jouer dans cette catégorie conformément aux restrictions applicables. </w:t>
      </w:r>
    </w:p>
    <w:p w14:paraId="19D314BE" w14:textId="77777777" w:rsidR="00CF2259" w:rsidRPr="00BA68A2" w:rsidRDefault="00332F8E" w:rsidP="00CF2259">
      <w:pPr>
        <w:pStyle w:val="Pardeliste"/>
        <w:numPr>
          <w:ilvl w:val="0"/>
          <w:numId w:val="1"/>
        </w:numPr>
      </w:pPr>
      <w:r w:rsidRPr="00BA68A2">
        <w:t xml:space="preserve">Lorsqu’un joueur n’a pas de cote, mais que le joueur a déjà joué au hockey sur glace ou dans un autre centre de </w:t>
      </w:r>
      <w:proofErr w:type="spellStart"/>
      <w:r w:rsidRPr="00BA68A2">
        <w:t>Dek</w:t>
      </w:r>
      <w:proofErr w:type="spellEnd"/>
      <w:r w:rsidRPr="00BA68A2">
        <w:t xml:space="preserve"> Hockey, il faut s’assurer que le joueur respecte tout de même les restrictions de la catégorie locale. Nous avons un tableau d’équivalence pour le hockey sur glace. Pour une cote de </w:t>
      </w:r>
      <w:proofErr w:type="spellStart"/>
      <w:r w:rsidRPr="00BA68A2">
        <w:t>Dek</w:t>
      </w:r>
      <w:proofErr w:type="spellEnd"/>
      <w:r w:rsidRPr="00BA68A2">
        <w:t xml:space="preserve"> Hockey, svp faire une demande aux responsables à l’adresse courriel</w:t>
      </w:r>
      <w:r w:rsidR="00E17931" w:rsidRPr="00BA68A2">
        <w:t xml:space="preserve"> </w:t>
      </w:r>
      <w:hyperlink r:id="rId5" w:history="1">
        <w:r w:rsidR="00E17931" w:rsidRPr="00BA68A2">
          <w:rPr>
            <w:rStyle w:val="Lienhypertexte"/>
            <w:rFonts w:hint="eastAsia"/>
          </w:rPr>
          <w:t>dekhockeyst@outlook.com</w:t>
        </w:r>
      </w:hyperlink>
      <w:r w:rsidR="00E17931" w:rsidRPr="00BA68A2">
        <w:t>. Une évaluation rapide sera faite.</w:t>
      </w:r>
    </w:p>
    <w:p w14:paraId="2691BC7B" w14:textId="33406043" w:rsidR="00C52FF7" w:rsidRPr="00BA68A2" w:rsidRDefault="00C52FF7" w:rsidP="00CF2259">
      <w:pPr>
        <w:pStyle w:val="Pardeliste"/>
        <w:numPr>
          <w:ilvl w:val="0"/>
          <w:numId w:val="1"/>
        </w:numPr>
      </w:pPr>
      <w:r w:rsidRPr="00BA68A2">
        <w:t>Chaque Capi</w:t>
      </w:r>
      <w:r w:rsidR="009D7695" w:rsidRPr="00BA68A2">
        <w:t xml:space="preserve">taine doit nommer un membre de son </w:t>
      </w:r>
      <w:r w:rsidRPr="00BA68A2">
        <w:t xml:space="preserve">équipe comme </w:t>
      </w:r>
      <w:r w:rsidR="009D3A84" w:rsidRPr="00BA68A2">
        <w:t>A</w:t>
      </w:r>
      <w:r w:rsidRPr="00BA68A2">
        <w:t xml:space="preserve">ssistant. Toutes les communications seront envoyées à ces deux personnes, ainsi l’assistant pourra parler également au nom du capitaine. </w:t>
      </w:r>
    </w:p>
    <w:p w14:paraId="04BD17C8" w14:textId="40915EFD" w:rsidR="00332F8E" w:rsidRPr="00BA68A2" w:rsidRDefault="007968F0" w:rsidP="00CF2259">
      <w:pPr>
        <w:pStyle w:val="Pardeliste"/>
        <w:numPr>
          <w:ilvl w:val="0"/>
          <w:numId w:val="1"/>
        </w:numPr>
      </w:pPr>
      <w:r w:rsidRPr="00BA68A2">
        <w:rPr>
          <w:rFonts w:hint="eastAsia"/>
        </w:rPr>
        <w:t>Nous vous conseillons d</w:t>
      </w:r>
      <w:r w:rsidRPr="00BA68A2">
        <w:t xml:space="preserve">’avertir vos </w:t>
      </w:r>
      <w:r w:rsidR="009658F6" w:rsidRPr="00BA68A2">
        <w:rPr>
          <w:rFonts w:hint="eastAsia"/>
        </w:rPr>
        <w:t>joueurs à joindre les différents groupes</w:t>
      </w:r>
      <w:r w:rsidR="009658F6" w:rsidRPr="00BA68A2">
        <w:t xml:space="preserve"> Facebook</w:t>
      </w:r>
      <w:r w:rsidR="009658F6" w:rsidRPr="00BA68A2">
        <w:rPr>
          <w:rFonts w:hint="eastAsia"/>
        </w:rPr>
        <w:t>:</w:t>
      </w:r>
      <w:r w:rsidR="004820C6" w:rsidRPr="00BA68A2">
        <w:t xml:space="preserve"> </w:t>
      </w:r>
      <w:r w:rsidR="004820C6" w:rsidRPr="00BA68A2">
        <w:rPr>
          <w:rFonts w:hint="eastAsia"/>
        </w:rPr>
        <w:t>"</w:t>
      </w:r>
      <w:r w:rsidR="007417AE" w:rsidRPr="00BA68A2">
        <w:t>DEK Hockey Sorel-Tracy</w:t>
      </w:r>
      <w:r w:rsidR="004820C6" w:rsidRPr="00BA68A2">
        <w:rPr>
          <w:rFonts w:hint="eastAsia"/>
        </w:rPr>
        <w:t>"</w:t>
      </w:r>
      <w:r w:rsidR="004820C6" w:rsidRPr="00BA68A2">
        <w:t>,</w:t>
      </w:r>
      <w:r w:rsidR="004820C6" w:rsidRPr="00BA68A2">
        <w:rPr>
          <w:rFonts w:hint="eastAsia"/>
        </w:rPr>
        <w:t xml:space="preserve"> </w:t>
      </w:r>
      <w:r w:rsidR="009658F6" w:rsidRPr="00BA68A2">
        <w:rPr>
          <w:rFonts w:hint="eastAsia"/>
        </w:rPr>
        <w:t>"</w:t>
      </w:r>
      <w:r w:rsidR="007417AE" w:rsidRPr="00BA68A2">
        <w:t>Remplaçants</w:t>
      </w:r>
      <w:r w:rsidR="009658F6" w:rsidRPr="00BA68A2">
        <w:rPr>
          <w:rFonts w:hint="eastAsia"/>
        </w:rPr>
        <w:t xml:space="preserve"> - </w:t>
      </w:r>
      <w:proofErr w:type="spellStart"/>
      <w:r w:rsidR="009658F6" w:rsidRPr="00BA68A2">
        <w:rPr>
          <w:rFonts w:hint="eastAsia"/>
        </w:rPr>
        <w:t>Dek</w:t>
      </w:r>
      <w:proofErr w:type="spellEnd"/>
      <w:r w:rsidR="009658F6" w:rsidRPr="00BA68A2">
        <w:rPr>
          <w:rFonts w:hint="eastAsia"/>
        </w:rPr>
        <w:t xml:space="preserve"> Hockey Sorel-</w:t>
      </w:r>
      <w:r w:rsidR="009658F6" w:rsidRPr="00BA68A2">
        <w:rPr>
          <w:rFonts w:hint="eastAsia"/>
        </w:rPr>
        <w:lastRenderedPageBreak/>
        <w:t>Tracy", "</w:t>
      </w:r>
      <w:proofErr w:type="spellStart"/>
      <w:r w:rsidR="009658F6" w:rsidRPr="00BA68A2">
        <w:rPr>
          <w:rFonts w:hint="eastAsia"/>
        </w:rPr>
        <w:t>Feminin</w:t>
      </w:r>
      <w:proofErr w:type="spellEnd"/>
      <w:r w:rsidR="009658F6" w:rsidRPr="00BA68A2">
        <w:rPr>
          <w:rFonts w:hint="eastAsia"/>
        </w:rPr>
        <w:t xml:space="preserve"> - </w:t>
      </w:r>
      <w:proofErr w:type="spellStart"/>
      <w:r w:rsidR="009658F6" w:rsidRPr="00BA68A2">
        <w:rPr>
          <w:rFonts w:hint="eastAsia"/>
        </w:rPr>
        <w:t>Dek</w:t>
      </w:r>
      <w:proofErr w:type="spellEnd"/>
      <w:r w:rsidR="009658F6" w:rsidRPr="00BA68A2">
        <w:rPr>
          <w:rFonts w:hint="eastAsia"/>
        </w:rPr>
        <w:t xml:space="preserve"> Hockey Sorel-Tracy", "Junior - </w:t>
      </w:r>
      <w:proofErr w:type="spellStart"/>
      <w:r w:rsidR="009658F6" w:rsidRPr="00BA68A2">
        <w:rPr>
          <w:rFonts w:hint="eastAsia"/>
        </w:rPr>
        <w:t>Dek</w:t>
      </w:r>
      <w:proofErr w:type="spellEnd"/>
      <w:r w:rsidR="009658F6" w:rsidRPr="00BA68A2">
        <w:rPr>
          <w:rFonts w:hint="eastAsia"/>
        </w:rPr>
        <w:t xml:space="preserve"> Hockey Sorel-Tracy".</w:t>
      </w:r>
    </w:p>
    <w:p w14:paraId="3CEEE56B" w14:textId="77777777" w:rsidR="00A96F2E" w:rsidRPr="00BA68A2" w:rsidRDefault="00A96F2E" w:rsidP="005F38A9">
      <w:pPr>
        <w:pStyle w:val="Pardeliste"/>
      </w:pPr>
    </w:p>
    <w:p w14:paraId="33E406E6" w14:textId="77777777" w:rsidR="00C15C51" w:rsidRPr="00BA68A2" w:rsidRDefault="00C15C51" w:rsidP="00C15C51"/>
    <w:p w14:paraId="4DE974E7" w14:textId="77777777" w:rsidR="00C15C51" w:rsidRPr="00BA68A2" w:rsidRDefault="00C15C51" w:rsidP="00C15C51">
      <w:pPr>
        <w:rPr>
          <w:u w:val="single"/>
        </w:rPr>
      </w:pPr>
      <w:r w:rsidRPr="00BA68A2">
        <w:rPr>
          <w:u w:val="single"/>
        </w:rPr>
        <w:t xml:space="preserve">Inscription et Compte </w:t>
      </w:r>
      <w:proofErr w:type="spellStart"/>
      <w:r w:rsidRPr="00BA68A2">
        <w:rPr>
          <w:u w:val="single"/>
        </w:rPr>
        <w:t>Websports</w:t>
      </w:r>
      <w:proofErr w:type="spellEnd"/>
    </w:p>
    <w:p w14:paraId="1036A979" w14:textId="60311C54" w:rsidR="00C15C51" w:rsidRPr="00BA68A2" w:rsidRDefault="00C15C51" w:rsidP="00C15C51">
      <w:pPr>
        <w:pStyle w:val="Pardeliste"/>
        <w:numPr>
          <w:ilvl w:val="0"/>
          <w:numId w:val="2"/>
        </w:numPr>
      </w:pPr>
      <w:r w:rsidRPr="00BA68A2">
        <w:t xml:space="preserve">À l’inscription, le capitaine doit inclure un maximum de 10 joueurs à son équipe, incluant le gardien. Les joueurs ne figurant pas </w:t>
      </w:r>
      <w:r w:rsidR="005B7DA0" w:rsidRPr="00BA68A2">
        <w:t>sur cette liste devront payer un petit frais (5$)</w:t>
      </w:r>
      <w:r w:rsidRPr="00BA68A2">
        <w:t xml:space="preserve"> pour </w:t>
      </w:r>
      <w:r w:rsidR="005B7DA0" w:rsidRPr="00BA68A2">
        <w:t>remplacer</w:t>
      </w:r>
      <w:r w:rsidRPr="00BA68A2">
        <w:t>. Un seul changement sera toléré sur cette liste.</w:t>
      </w:r>
    </w:p>
    <w:p w14:paraId="1C103B7C" w14:textId="77777777" w:rsidR="00C15C51" w:rsidRPr="00BA68A2" w:rsidRDefault="00C15C51" w:rsidP="00C15C51">
      <w:pPr>
        <w:pStyle w:val="Pardeliste"/>
        <w:numPr>
          <w:ilvl w:val="0"/>
          <w:numId w:val="2"/>
        </w:numPr>
      </w:pPr>
      <w:r w:rsidRPr="00BA68A2">
        <w:t>Une fois l’in</w:t>
      </w:r>
      <w:r w:rsidR="007C1302" w:rsidRPr="00BA68A2">
        <w:t xml:space="preserve">scription complétée par le capitaine, un profil de joueur sera créé pour les nouveaux joueurs. Le capitaine recevra par courriel un code pour chaque nouveau joueur.  </w:t>
      </w:r>
      <w:r w:rsidR="005F38A9" w:rsidRPr="00BA68A2">
        <w:t xml:space="preserve">Le capitaine devra envoyer les codes aux joueurs respectifs. </w:t>
      </w:r>
      <w:r w:rsidR="007C1302" w:rsidRPr="00BA68A2">
        <w:t xml:space="preserve">Ce code sert à lier le profil de joueur au compte </w:t>
      </w:r>
      <w:proofErr w:type="spellStart"/>
      <w:r w:rsidR="007C1302" w:rsidRPr="00BA68A2">
        <w:t>Websports</w:t>
      </w:r>
      <w:proofErr w:type="spellEnd"/>
      <w:r w:rsidR="007C1302" w:rsidRPr="00BA68A2">
        <w:t xml:space="preserve"> que celui-ci devra se créer.</w:t>
      </w:r>
    </w:p>
    <w:p w14:paraId="35C6C430" w14:textId="77777777" w:rsidR="007C1302" w:rsidRPr="00BA68A2" w:rsidRDefault="007C1302" w:rsidP="00C15C51">
      <w:pPr>
        <w:pStyle w:val="Pardeliste"/>
        <w:numPr>
          <w:ilvl w:val="0"/>
          <w:numId w:val="2"/>
        </w:numPr>
      </w:pPr>
      <w:r w:rsidRPr="00BA68A2">
        <w:t>Concernant les joueurs non-créés dans le système qui commencent à jouer pendant la saison, ce sera le marqueur qui créera le profil du joueur. Après le match, le capitaine recevra le code du nouveau joueur</w:t>
      </w:r>
      <w:r w:rsidR="005F38A9" w:rsidRPr="00BA68A2">
        <w:t xml:space="preserve"> par courriel</w:t>
      </w:r>
      <w:r w:rsidRPr="00BA68A2">
        <w:t xml:space="preserve">. Celui-ci devra se créer un compte </w:t>
      </w:r>
      <w:proofErr w:type="spellStart"/>
      <w:r w:rsidRPr="00BA68A2">
        <w:t>Websports</w:t>
      </w:r>
      <w:proofErr w:type="spellEnd"/>
      <w:r w:rsidRPr="00BA68A2">
        <w:t xml:space="preserve"> et utiliser le code pour lier son compte </w:t>
      </w:r>
      <w:proofErr w:type="spellStart"/>
      <w:r w:rsidR="005F38A9" w:rsidRPr="00BA68A2">
        <w:t>Websports</w:t>
      </w:r>
      <w:proofErr w:type="spellEnd"/>
      <w:r w:rsidR="005F38A9" w:rsidRPr="00BA68A2">
        <w:t xml:space="preserve"> </w:t>
      </w:r>
      <w:r w:rsidRPr="00BA68A2">
        <w:t>à son profil de joueur.</w:t>
      </w:r>
    </w:p>
    <w:p w14:paraId="25612B7F" w14:textId="77777777" w:rsidR="00C15C51" w:rsidRPr="00BA68A2" w:rsidRDefault="00C15C51" w:rsidP="00FA723A">
      <w:pPr>
        <w:pStyle w:val="Pardeliste"/>
        <w:numPr>
          <w:ilvl w:val="0"/>
          <w:numId w:val="1"/>
        </w:numPr>
      </w:pPr>
      <w:r w:rsidRPr="00BA68A2">
        <w:t>Chaque joueur doit mettre une photo associée à son compte. Après qu’il ait joué un certain nombre de matchs, il fera perdre à l’équipe des points à chaque</w:t>
      </w:r>
      <w:r w:rsidR="00A96F2E" w:rsidRPr="00BA68A2">
        <w:t xml:space="preserve"> match qu’il jouera sans photo.</w:t>
      </w:r>
    </w:p>
    <w:p w14:paraId="40C9B2B7" w14:textId="0A9E3EA1" w:rsidR="008C113E" w:rsidRPr="00BA68A2" w:rsidRDefault="008C113E" w:rsidP="00FA723A">
      <w:pPr>
        <w:pStyle w:val="Pardeliste"/>
        <w:numPr>
          <w:ilvl w:val="0"/>
          <w:numId w:val="1"/>
        </w:numPr>
      </w:pPr>
      <w:r w:rsidRPr="00BA68A2">
        <w:t xml:space="preserve">Le coût de l’inscription est de 1600$. Si ce paiement est fait avant la date limite du 15 avril, le capitaine aura droit à son </w:t>
      </w:r>
      <w:proofErr w:type="spellStart"/>
      <w:r w:rsidRPr="00BA68A2">
        <w:t>hoodie</w:t>
      </w:r>
      <w:proofErr w:type="spellEnd"/>
      <w:r w:rsidRPr="00BA68A2">
        <w:t xml:space="preserve">. </w:t>
      </w:r>
    </w:p>
    <w:p w14:paraId="1BF463F2" w14:textId="06ED8D54" w:rsidR="009658F6" w:rsidRPr="00BA68A2" w:rsidRDefault="009658F6" w:rsidP="009658F6">
      <w:pPr>
        <w:pStyle w:val="Pardeliste"/>
        <w:numPr>
          <w:ilvl w:val="0"/>
          <w:numId w:val="1"/>
        </w:numPr>
      </w:pPr>
      <w:r w:rsidRPr="00BA68A2">
        <w:rPr>
          <w:rFonts w:hint="eastAsia"/>
        </w:rPr>
        <w:t>Veuillez écrire clairement vos demandes de restriction d'horaire</w:t>
      </w:r>
      <w:r w:rsidRPr="00BA68A2">
        <w:t xml:space="preserve"> au moment de l’inscription</w:t>
      </w:r>
      <w:r w:rsidRPr="00BA68A2">
        <w:rPr>
          <w:rFonts w:hint="eastAsia"/>
        </w:rPr>
        <w:t>. Plus vous avez de restrictions, moins elles seront respectées. Les restrictions peuvent être en fonction des heures, des soirs de semaine et des dates.</w:t>
      </w:r>
    </w:p>
    <w:p w14:paraId="2BE7745A" w14:textId="77777777" w:rsidR="005B7DA0" w:rsidRPr="00BA68A2" w:rsidRDefault="005B7DA0" w:rsidP="005B7DA0"/>
    <w:p w14:paraId="683E278F" w14:textId="0CD6D783" w:rsidR="005B7DA0" w:rsidRPr="00BA68A2" w:rsidRDefault="005B7DA0" w:rsidP="005B7DA0">
      <w:pPr>
        <w:rPr>
          <w:u w:val="single"/>
        </w:rPr>
      </w:pPr>
      <w:r w:rsidRPr="00BA68A2">
        <w:rPr>
          <w:u w:val="single"/>
        </w:rPr>
        <w:t xml:space="preserve">Compte </w:t>
      </w:r>
      <w:proofErr w:type="spellStart"/>
      <w:r w:rsidRPr="00BA68A2">
        <w:rPr>
          <w:u w:val="single"/>
        </w:rPr>
        <w:t>CotesDek</w:t>
      </w:r>
      <w:proofErr w:type="spellEnd"/>
      <w:r w:rsidRPr="00BA68A2">
        <w:rPr>
          <w:u w:val="single"/>
        </w:rPr>
        <w:t xml:space="preserve"> </w:t>
      </w:r>
    </w:p>
    <w:p w14:paraId="29167636" w14:textId="08BA721A" w:rsidR="005B7DA0" w:rsidRPr="00BA68A2" w:rsidRDefault="005B7DA0" w:rsidP="005B7DA0">
      <w:pPr>
        <w:pStyle w:val="Pardeliste"/>
        <w:numPr>
          <w:ilvl w:val="0"/>
          <w:numId w:val="1"/>
        </w:numPr>
        <w:rPr>
          <w:u w:val="single"/>
        </w:rPr>
      </w:pPr>
      <w:proofErr w:type="spellStart"/>
      <w:r w:rsidRPr="00BA68A2">
        <w:t>Dek</w:t>
      </w:r>
      <w:proofErr w:type="spellEnd"/>
      <w:r w:rsidRPr="00BA68A2">
        <w:t xml:space="preserve"> Hockey Sorel-Tracy fait </w:t>
      </w:r>
      <w:r w:rsidR="00D001F5" w:rsidRPr="00BA68A2">
        <w:t>partie</w:t>
      </w:r>
      <w:r w:rsidRPr="00BA68A2">
        <w:t xml:space="preserve"> de l’association provinciale </w:t>
      </w:r>
      <w:proofErr w:type="spellStart"/>
      <w:r w:rsidRPr="00BA68A2">
        <w:t>CotesDek</w:t>
      </w:r>
      <w:proofErr w:type="spellEnd"/>
      <w:r w:rsidR="00E940E2" w:rsidRPr="00BA68A2">
        <w:t xml:space="preserve">. Chaque joueur devra avoir un compte au sein de l’association pour pouvoir jouer à Sorel-Tracy. </w:t>
      </w:r>
      <w:r w:rsidR="00837209" w:rsidRPr="00BA68A2">
        <w:t xml:space="preserve">Un coût est chargé à chaque joueur. </w:t>
      </w:r>
      <w:r w:rsidR="00E940E2" w:rsidRPr="00BA68A2">
        <w:t>Il sera possible de jouer deux ou trois matchs sans compte, après quoi, l’équipe dans lequel le jouer joue perdra par défaut.</w:t>
      </w:r>
    </w:p>
    <w:p w14:paraId="0B3D3725" w14:textId="77777777" w:rsidR="00D001F5" w:rsidRPr="00BA68A2" w:rsidRDefault="00D001F5" w:rsidP="00D001F5">
      <w:pPr>
        <w:rPr>
          <w:u w:val="single"/>
        </w:rPr>
      </w:pPr>
    </w:p>
    <w:p w14:paraId="73B805B1" w14:textId="4DFCAB85" w:rsidR="00D001F5" w:rsidRPr="00BA68A2" w:rsidRDefault="00D001F5" w:rsidP="00D001F5">
      <w:pPr>
        <w:rPr>
          <w:u w:val="single"/>
        </w:rPr>
      </w:pPr>
      <w:r w:rsidRPr="00BA68A2">
        <w:rPr>
          <w:u w:val="single"/>
        </w:rPr>
        <w:t>Remplacement lors d’un match</w:t>
      </w:r>
    </w:p>
    <w:p w14:paraId="0D88A3B2" w14:textId="7E523D80" w:rsidR="00D001F5" w:rsidRPr="00BA68A2" w:rsidRDefault="00D001F5" w:rsidP="00D001F5">
      <w:pPr>
        <w:pStyle w:val="Pardeliste"/>
        <w:numPr>
          <w:ilvl w:val="0"/>
          <w:numId w:val="1"/>
        </w:numPr>
      </w:pPr>
      <w:r w:rsidRPr="00BA68A2">
        <w:t xml:space="preserve">Tout joueur qui veut remplacer doit se procurer un coupon de 5$ (remplacement) et le remettre au marqueur. Celui-ci l’ajoutera à votre formation pour la partie. Si le joueur n’a jamais </w:t>
      </w:r>
      <w:r w:rsidR="009D7695" w:rsidRPr="00BA68A2">
        <w:t>joué</w:t>
      </w:r>
      <w:r w:rsidRPr="00BA68A2">
        <w:t xml:space="preserve"> au </w:t>
      </w:r>
      <w:proofErr w:type="spellStart"/>
      <w:r w:rsidRPr="00BA68A2">
        <w:t>dek</w:t>
      </w:r>
      <w:proofErr w:type="spellEnd"/>
      <w:r w:rsidRPr="00BA68A2">
        <w:t xml:space="preserve">, svp vous référer au règlement sur les joueurs qui ne sont pas cotés. </w:t>
      </w:r>
    </w:p>
    <w:p w14:paraId="328B4B44" w14:textId="0E0FEEDA" w:rsidR="00D001F5" w:rsidRPr="00BA68A2" w:rsidRDefault="00D001F5" w:rsidP="00D001F5">
      <w:pPr>
        <w:pStyle w:val="Pardeliste"/>
        <w:numPr>
          <w:ilvl w:val="0"/>
          <w:numId w:val="1"/>
        </w:numPr>
      </w:pPr>
      <w:r w:rsidRPr="00BA68A2">
        <w:t xml:space="preserve">Ce joueur se doit de respecter les restrictions initiales pour votre catégorie. </w:t>
      </w:r>
    </w:p>
    <w:p w14:paraId="596E4305" w14:textId="18431FD6" w:rsidR="00D001F5" w:rsidRPr="00BA68A2" w:rsidRDefault="00D001F5" w:rsidP="00D001F5">
      <w:pPr>
        <w:pStyle w:val="Pardeliste"/>
        <w:numPr>
          <w:ilvl w:val="0"/>
          <w:numId w:val="1"/>
        </w:numPr>
      </w:pPr>
      <w:r w:rsidRPr="00BA68A2">
        <w:t xml:space="preserve">Pour qu’un remplaçant puisse jouer en série, celui-ci doit avoir jouer le nombre minimal de partie indiquée dans les règlements de la saison en cours. </w:t>
      </w:r>
    </w:p>
    <w:p w14:paraId="5BB10B76" w14:textId="77777777" w:rsidR="00CF3884" w:rsidRPr="00BA68A2" w:rsidRDefault="00CF3884" w:rsidP="00CF3884"/>
    <w:p w14:paraId="697FDB37" w14:textId="77777777" w:rsidR="009658F6" w:rsidRPr="00BA68A2" w:rsidRDefault="009658F6" w:rsidP="00CF3884">
      <w:pPr>
        <w:rPr>
          <w:u w:val="single"/>
        </w:rPr>
      </w:pPr>
    </w:p>
    <w:p w14:paraId="3E3CAE0F" w14:textId="65BB9CEB" w:rsidR="00CF3884" w:rsidRPr="00BA68A2" w:rsidRDefault="00CF3884" w:rsidP="00CF3884">
      <w:pPr>
        <w:rPr>
          <w:u w:val="single"/>
        </w:rPr>
      </w:pPr>
      <w:r w:rsidRPr="00BA68A2">
        <w:rPr>
          <w:u w:val="single"/>
        </w:rPr>
        <w:t xml:space="preserve">Équivalence </w:t>
      </w:r>
      <w:r w:rsidR="008C4DF5" w:rsidRPr="00BA68A2">
        <w:rPr>
          <w:u w:val="single"/>
        </w:rPr>
        <w:t>de hockey</w:t>
      </w:r>
    </w:p>
    <w:p w14:paraId="1216E1E5" w14:textId="77777777" w:rsidR="008C4DF5" w:rsidRPr="00BA68A2" w:rsidRDefault="008C4DF5" w:rsidP="00CF3884">
      <w:pPr>
        <w:rPr>
          <w:u w:val="single"/>
        </w:rPr>
      </w:pP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2103"/>
        <w:gridCol w:w="916"/>
        <w:gridCol w:w="1189"/>
        <w:gridCol w:w="1512"/>
      </w:tblGrid>
      <w:tr w:rsidR="008C4DF5" w:rsidRPr="00BA68A2" w14:paraId="1FF2C066" w14:textId="77777777" w:rsidTr="007C1ADF">
        <w:trPr>
          <w:trHeight w:val="300"/>
          <w:jc w:val="center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F19521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COTES MASCULINES MINIMALES</w:t>
            </w:r>
          </w:p>
        </w:tc>
      </w:tr>
      <w:tr w:rsidR="008C4DF5" w:rsidRPr="00BA68A2" w14:paraId="6E63E9C0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F61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BA2A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&lt; 5ans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380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5-10 ans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1F5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10 ans et +</w:t>
            </w:r>
          </w:p>
        </w:tc>
      </w:tr>
      <w:tr w:rsidR="008C4DF5" w:rsidRPr="00BA68A2" w14:paraId="73EFA4CB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D6F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NHL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5757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19166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EC5D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H5</w:t>
            </w:r>
          </w:p>
        </w:tc>
      </w:tr>
      <w:tr w:rsidR="008C4DF5" w:rsidRPr="00BA68A2" w14:paraId="37C1839E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E6FF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AHL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7AA2A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H6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7EBD1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H7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39B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H8</w:t>
            </w:r>
          </w:p>
        </w:tc>
      </w:tr>
      <w:tr w:rsidR="008C4DF5" w:rsidRPr="00BA68A2" w14:paraId="60E2679C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03DE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LHJMQ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18095B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2BBA41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336A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DF5" w:rsidRPr="00BA68A2" w14:paraId="7FC1E05A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07C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UNIVERSITAIRE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E35B4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H7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F205E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H8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983B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H9</w:t>
            </w:r>
          </w:p>
        </w:tc>
      </w:tr>
      <w:tr w:rsidR="008C4DF5" w:rsidRPr="00BA68A2" w14:paraId="3A8D48E3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E37E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LNAH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C29EB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7111B5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37FA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DF5" w:rsidRPr="00BA68A2" w14:paraId="34D450CC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8DA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SENIOR AAA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A6B9C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H8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F2666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H9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F217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H10</w:t>
            </w:r>
          </w:p>
        </w:tc>
      </w:tr>
      <w:tr w:rsidR="008C4DF5" w:rsidRPr="00BA68A2" w14:paraId="18AB4FD2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013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MIDGET AAA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E9B0F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3F6658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F3EA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DF5" w:rsidRPr="00BA68A2" w14:paraId="75016B5D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FC5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Collégial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F85984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8F0E04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9B355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DF5" w:rsidRPr="00BA68A2" w14:paraId="1D281C88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46C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JUNIOR AAA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C519B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37023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DDD5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DF5" w:rsidRPr="00BA68A2" w14:paraId="397FD8B8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377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Senior AA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DCFB3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H9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5ED34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H10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C24D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H11</w:t>
            </w:r>
          </w:p>
        </w:tc>
      </w:tr>
      <w:tr w:rsidR="008C4DF5" w:rsidRPr="00BA68A2" w14:paraId="461DB2D2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F06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JUNIOR AA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7824A0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21C2F4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C04A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4DF5" w:rsidRPr="00BA68A2" w14:paraId="04D4278D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741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BANTAM AAA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811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CF8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72EF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H11</w:t>
            </w:r>
          </w:p>
        </w:tc>
      </w:tr>
      <w:tr w:rsidR="008C4DF5" w:rsidRPr="00BA68A2" w14:paraId="0F15CAD0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ED7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68A2">
              <w:rPr>
                <w:rFonts w:ascii="Calibri" w:eastAsia="Times New Roman" w:hAnsi="Calibri" w:cs="Times New Roman"/>
                <w:color w:val="000000"/>
              </w:rPr>
              <w:t>Midet</w:t>
            </w:r>
            <w:proofErr w:type="spellEnd"/>
            <w:r w:rsidRPr="00BA68A2">
              <w:rPr>
                <w:rFonts w:ascii="Calibri" w:eastAsia="Times New Roman" w:hAnsi="Calibri" w:cs="Times New Roman"/>
                <w:color w:val="000000"/>
              </w:rPr>
              <w:t xml:space="preserve"> AA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084CB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6604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479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H11</w:t>
            </w:r>
          </w:p>
        </w:tc>
      </w:tr>
      <w:tr w:rsidR="008C4DF5" w:rsidRPr="00BA68A2" w14:paraId="08B8C01D" w14:textId="77777777" w:rsidTr="007C1ADF">
        <w:trPr>
          <w:trHeight w:val="300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53C5" w14:textId="77777777" w:rsidR="008C4DF5" w:rsidRPr="00BA68A2" w:rsidRDefault="008C4DF5" w:rsidP="007C1AD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68A2">
              <w:rPr>
                <w:rFonts w:ascii="Calibri" w:eastAsia="Times New Roman" w:hAnsi="Calibri" w:cs="Times New Roman"/>
                <w:color w:val="000000"/>
              </w:rPr>
              <w:t>Midget</w:t>
            </w:r>
            <w:proofErr w:type="spellEnd"/>
            <w:r w:rsidRPr="00BA68A2">
              <w:rPr>
                <w:rFonts w:ascii="Calibri" w:eastAsia="Times New Roman" w:hAnsi="Calibri" w:cs="Times New Roman"/>
                <w:color w:val="000000"/>
              </w:rPr>
              <w:t xml:space="preserve"> BB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8DFA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76865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37C" w14:textId="77777777" w:rsidR="008C4DF5" w:rsidRPr="00BA68A2" w:rsidRDefault="008C4DF5" w:rsidP="007C1AD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68A2">
              <w:rPr>
                <w:rFonts w:ascii="Calibri" w:eastAsia="Times New Roman" w:hAnsi="Calibri" w:cs="Times New Roman"/>
                <w:color w:val="000000"/>
              </w:rPr>
              <w:t>H13</w:t>
            </w:r>
          </w:p>
        </w:tc>
      </w:tr>
    </w:tbl>
    <w:p w14:paraId="0CB9203E" w14:textId="77777777" w:rsidR="00371194" w:rsidRDefault="00371194" w:rsidP="00371194">
      <w:pPr>
        <w:pStyle w:val="Pardeliste"/>
        <w:jc w:val="both"/>
        <w:rPr>
          <w:rFonts w:ascii="Arial Unicode MS" w:eastAsia="Arial Unicode MS" w:hAnsi="Arial Unicode MS" w:cs="Arial Unicode MS"/>
        </w:rPr>
      </w:pPr>
    </w:p>
    <w:p w14:paraId="1BB5CF42" w14:textId="74739A9F" w:rsidR="00C8798E" w:rsidRPr="00A525B4" w:rsidRDefault="00C8798E" w:rsidP="00C8798E">
      <w:pPr>
        <w:pStyle w:val="Pardeliste"/>
        <w:numPr>
          <w:ilvl w:val="2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A525B4">
        <w:rPr>
          <w:rFonts w:ascii="Arial Unicode MS" w:eastAsia="Arial Unicode MS" w:hAnsi="Arial Unicode MS" w:cs="Arial Unicode MS"/>
        </w:rPr>
        <w:t xml:space="preserve">Les nouveaux joueurs ayant déjà joué au </w:t>
      </w:r>
      <w:proofErr w:type="spellStart"/>
      <w:r w:rsidRPr="00A525B4">
        <w:rPr>
          <w:rFonts w:ascii="Arial Unicode MS" w:eastAsia="Arial Unicode MS" w:hAnsi="Arial Unicode MS" w:cs="Arial Unicode MS"/>
        </w:rPr>
        <w:t>Dek</w:t>
      </w:r>
      <w:proofErr w:type="spellEnd"/>
      <w:r w:rsidRPr="00A525B4">
        <w:rPr>
          <w:rFonts w:ascii="Arial Unicode MS" w:eastAsia="Arial Unicode MS" w:hAnsi="Arial Unicode MS" w:cs="Arial Unicode MS"/>
        </w:rPr>
        <w:t xml:space="preserve"> Hockey dans un autre centre se devront de faire une demande d’évaluation de leur </w:t>
      </w:r>
      <w:proofErr w:type="gramStart"/>
      <w:r w:rsidRPr="00A525B4">
        <w:rPr>
          <w:rFonts w:ascii="Arial Unicode MS" w:eastAsia="Arial Unicode MS" w:hAnsi="Arial Unicode MS" w:cs="Arial Unicode MS"/>
        </w:rPr>
        <w:t>cote</w:t>
      </w:r>
      <w:proofErr w:type="gramEnd"/>
      <w:r w:rsidRPr="00A525B4">
        <w:rPr>
          <w:rFonts w:ascii="Arial Unicode MS" w:eastAsia="Arial Unicode MS" w:hAnsi="Arial Unicode MS" w:cs="Arial Unicode MS"/>
        </w:rPr>
        <w:t xml:space="preserve"> au responsable au dekhockeyst@outlook.com. Si le joueur agis en tant que remplaçant, le joueur pourra participer à une partie avec l’équipe. Le capitaine se doit d’évaluer le joueur. Ce dernier doit respecter les restrictions. Le point 1.1.4</w:t>
      </w:r>
      <w:r w:rsidR="00911CAE">
        <w:rPr>
          <w:rFonts w:ascii="Arial Unicode MS" w:eastAsia="Arial Unicode MS" w:hAnsi="Arial Unicode MS" w:cs="Arial Unicode MS"/>
        </w:rPr>
        <w:t xml:space="preserve"> (du guide de règlements)</w:t>
      </w:r>
      <w:bookmarkStart w:id="0" w:name="_GoBack"/>
      <w:bookmarkEnd w:id="0"/>
      <w:r w:rsidRPr="00A525B4">
        <w:rPr>
          <w:rFonts w:ascii="Arial Unicode MS" w:eastAsia="Arial Unicode MS" w:hAnsi="Arial Unicode MS" w:cs="Arial Unicode MS"/>
        </w:rPr>
        <w:t xml:space="preserve"> doit être respecté même si le joueur n’a jamais joué au </w:t>
      </w:r>
      <w:proofErr w:type="spellStart"/>
      <w:r w:rsidRPr="00A525B4">
        <w:rPr>
          <w:rFonts w:ascii="Arial Unicode MS" w:eastAsia="Arial Unicode MS" w:hAnsi="Arial Unicode MS" w:cs="Arial Unicode MS"/>
        </w:rPr>
        <w:t>Dek</w:t>
      </w:r>
      <w:proofErr w:type="spellEnd"/>
      <w:r w:rsidRPr="00A525B4">
        <w:rPr>
          <w:rFonts w:ascii="Arial Unicode MS" w:eastAsia="Arial Unicode MS" w:hAnsi="Arial Unicode MS" w:cs="Arial Unicode MS"/>
        </w:rPr>
        <w:t xml:space="preserve"> Hockey. Si le joueur a une cote provinciale, celle-ci sera utilisée pour définir le classement de ce joueur.  </w:t>
      </w:r>
    </w:p>
    <w:p w14:paraId="4F804044" w14:textId="77777777" w:rsidR="008C4DF5" w:rsidRPr="00BA68A2" w:rsidRDefault="008C4DF5" w:rsidP="00CF3884"/>
    <w:sectPr w:rsidR="008C4DF5" w:rsidRPr="00BA68A2" w:rsidSect="009D6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6BDA"/>
    <w:multiLevelType w:val="hybridMultilevel"/>
    <w:tmpl w:val="AA58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2F68"/>
    <w:multiLevelType w:val="hybridMultilevel"/>
    <w:tmpl w:val="EBE09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4657F"/>
    <w:multiLevelType w:val="multilevel"/>
    <w:tmpl w:val="0E821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A1D7EEB"/>
    <w:multiLevelType w:val="hybridMultilevel"/>
    <w:tmpl w:val="BB8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A"/>
    <w:rsid w:val="002144E0"/>
    <w:rsid w:val="00332F8E"/>
    <w:rsid w:val="00371194"/>
    <w:rsid w:val="004820C6"/>
    <w:rsid w:val="005B7DA0"/>
    <w:rsid w:val="005F38A9"/>
    <w:rsid w:val="0063015F"/>
    <w:rsid w:val="0069099D"/>
    <w:rsid w:val="007417AE"/>
    <w:rsid w:val="007759BF"/>
    <w:rsid w:val="007968F0"/>
    <w:rsid w:val="007C1302"/>
    <w:rsid w:val="00837209"/>
    <w:rsid w:val="008C113E"/>
    <w:rsid w:val="008C4DF5"/>
    <w:rsid w:val="00911CAE"/>
    <w:rsid w:val="00942CBA"/>
    <w:rsid w:val="009658F6"/>
    <w:rsid w:val="009D3A84"/>
    <w:rsid w:val="009D618D"/>
    <w:rsid w:val="009D7695"/>
    <w:rsid w:val="00A85C38"/>
    <w:rsid w:val="00A96F2E"/>
    <w:rsid w:val="00AA1D7B"/>
    <w:rsid w:val="00B319EC"/>
    <w:rsid w:val="00BA68A2"/>
    <w:rsid w:val="00C15C51"/>
    <w:rsid w:val="00C52FF7"/>
    <w:rsid w:val="00C8798E"/>
    <w:rsid w:val="00CA0F2C"/>
    <w:rsid w:val="00CB3DD5"/>
    <w:rsid w:val="00CF2259"/>
    <w:rsid w:val="00CF3884"/>
    <w:rsid w:val="00D001F5"/>
    <w:rsid w:val="00D66EBB"/>
    <w:rsid w:val="00E17931"/>
    <w:rsid w:val="00E940E2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273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C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CBA"/>
    <w:rPr>
      <w:rFonts w:ascii="Lucida Grande" w:hAnsi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FA72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khockeyst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939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Blain</dc:creator>
  <cp:keywords/>
  <dc:description/>
  <cp:lastModifiedBy>Boisvert2, Serge</cp:lastModifiedBy>
  <cp:revision>9</cp:revision>
  <dcterms:created xsi:type="dcterms:W3CDTF">2020-03-04T23:23:00Z</dcterms:created>
  <dcterms:modified xsi:type="dcterms:W3CDTF">2020-03-06T19:58:00Z</dcterms:modified>
</cp:coreProperties>
</file>